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7F9566AC" w14:textId="77777777" w:rsidR="00C8620B" w:rsidRPr="00E21B8E" w:rsidRDefault="00C8620B" w:rsidP="00C8620B">
      <w:pPr>
        <w:keepNext/>
        <w:keepLines/>
        <w:widowControl w:val="0"/>
        <w:shd w:val="clear" w:color="auto" w:fill="538135" w:themeFill="accent6" w:themeFillShade="BF"/>
        <w:autoSpaceDE w:val="0"/>
        <w:autoSpaceDN w:val="0"/>
        <w:spacing w:after="0" w:line="360" w:lineRule="auto"/>
        <w:ind w:right="11"/>
        <w:jc w:val="both"/>
        <w:outlineLvl w:val="0"/>
        <w:rPr>
          <w:rFonts w:ascii="Arial" w:eastAsiaTheme="majorEastAsia" w:hAnsi="Arial" w:cs="Arial"/>
          <w:sz w:val="28"/>
          <w:highlight w:val="lightGray"/>
          <w:lang w:val="es-ES_tradnl"/>
        </w:rPr>
      </w:pP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ANEXO X</w:t>
      </w:r>
      <w:r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II</w:t>
      </w: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 xml:space="preserve">. </w:t>
      </w:r>
      <w:r w:rsidRPr="000F734F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DECLARACIÓN DE CESIÓN Y TRATAMIENTO DE DATOS EN RELACIÓN CON LA EJECUCIÓN DE ACTUACIONES DEL PLAN DE RECUPERACIÓN, TRANSFORMACIÓN Y RESILIENCIA (PRTR).</w:t>
      </w:r>
    </w:p>
    <w:p w14:paraId="2190D297" w14:textId="77777777" w:rsidR="00C8620B" w:rsidRDefault="00C8620B" w:rsidP="00C8620B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04B4BBBA" w14:textId="77777777" w:rsidR="00E868DC" w:rsidRPr="00A602A1" w:rsidRDefault="00E868DC" w:rsidP="00E868DC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</w:rPr>
      </w:pPr>
      <w:r w:rsidRPr="0095601E">
        <w:rPr>
          <w:rFonts w:asciiTheme="minorHAnsi" w:hAnsiTheme="minorHAnsi" w:cstheme="minorHAnsi"/>
          <w:b/>
          <w:caps/>
        </w:rPr>
        <w:t>declaración de cesión y tratamiento de datos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 -CONTRATOS</w:t>
      </w:r>
    </w:p>
    <w:p w14:paraId="249275FC" w14:textId="243526D4" w:rsidR="00E868DC" w:rsidRDefault="00E868DC" w:rsidP="00E868DC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1C50CDB" w14:textId="3D0C36F7" w:rsidR="00E868DC" w:rsidRPr="005D319E" w:rsidRDefault="00226F93" w:rsidP="00E868DC">
      <w:pPr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Denominación</w:t>
      </w:r>
      <w:r w:rsidR="00E868DC" w:rsidRPr="009D2FC4">
        <w:rPr>
          <w:rFonts w:asciiTheme="minorHAnsi" w:hAnsiTheme="minorHAnsi" w:cstheme="minorHAnsi"/>
          <w:b/>
          <w:color w:val="000000"/>
          <w:sz w:val="22"/>
        </w:rPr>
        <w:t xml:space="preserve"> de</w:t>
      </w:r>
      <w:r w:rsidR="00E868DC">
        <w:rPr>
          <w:rFonts w:asciiTheme="minorHAnsi" w:hAnsiTheme="minorHAnsi" w:cstheme="minorHAnsi"/>
          <w:b/>
          <w:color w:val="000000"/>
          <w:sz w:val="22"/>
        </w:rPr>
        <w:t>l contrato</w:t>
      </w:r>
      <w:r w:rsidR="00E868DC" w:rsidRPr="009D2FC4">
        <w:rPr>
          <w:rFonts w:asciiTheme="minorHAnsi" w:hAnsiTheme="minorHAnsi" w:cstheme="minorHAnsi"/>
          <w:b/>
          <w:color w:val="000000"/>
          <w:sz w:val="22"/>
        </w:rPr>
        <w:t xml:space="preserve">: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F8AEBE7" w14:textId="49D05DAC" w:rsidR="00E868DC" w:rsidRDefault="00E868DC" w:rsidP="00E868DC">
      <w:pPr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="001B59FF">
        <w:rPr>
          <w:rFonts w:asciiTheme="minorHAnsi" w:hAnsiTheme="minorHAnsi" w:cstheme="minorHAnsi"/>
          <w:b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2"/>
        </w:rPr>
        <w:t>.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1B59FF">
        <w:rPr>
          <w:rFonts w:asciiTheme="minorHAnsi" w:hAnsiTheme="minorHAnsi" w:cstheme="minorHAnsi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</w:t>
      </w:r>
      <w:r w:rsidRPr="00A602A1">
        <w:rPr>
          <w:rFonts w:asciiTheme="minorHAnsi" w:hAnsiTheme="minorHAnsi" w:cstheme="minorHAnsi"/>
          <w:sz w:val="22"/>
        </w:rPr>
        <w:t xml:space="preserve"> 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>-</w:t>
      </w:r>
      <w:r w:rsidRPr="00A602A1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la entidad</w:t>
      </w:r>
      <w:r w:rsidR="001B59FF">
        <w:rPr>
          <w:rFonts w:asciiTheme="minorHAnsi" w:hAnsiTheme="minorHAnsi" w:cstheme="minorHAnsi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1B59FF">
        <w:rPr>
          <w:rFonts w:asciiTheme="minorHAnsi" w:hAnsiTheme="minorHAnsi" w:cstheme="minorHAnsi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5B7A06">
        <w:rPr>
          <w:rFonts w:asciiTheme="minorHAnsi" w:hAnsiTheme="minorHAnsi" w:cstheme="minorHAnsi"/>
          <w:sz w:val="22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en la condición </w:t>
      </w:r>
      <w:r>
        <w:rPr>
          <w:rFonts w:asciiTheme="minorHAnsi" w:hAnsiTheme="minorHAnsi" w:cstheme="minorHAnsi"/>
          <w:sz w:val="22"/>
        </w:rPr>
        <w:t>CONTRATISTA/SUBCONTRATISTA,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 xml:space="preserve">PRTR </w:t>
      </w:r>
      <w:r w:rsidRPr="0095601E">
        <w:rPr>
          <w:rFonts w:asciiTheme="minorHAnsi" w:hAnsiTheme="minorHAnsi" w:cstheme="minorHAnsi"/>
          <w:sz w:val="22"/>
        </w:rPr>
        <w:t xml:space="preserve"> declara conocer la normativa que es de aplicación, en particular los siguientes apartados del artículo 22, del Reglamento (UE) 2021/241 del Parlamento Europeo y del Consejo, de 12 de febrero de 2021, por el que se establece el Mecanismo de Recuperación y Resiliencia</w:t>
      </w:r>
      <w:r>
        <w:rPr>
          <w:rFonts w:asciiTheme="minorHAnsi" w:hAnsiTheme="minorHAnsi" w:cstheme="minorHAnsi"/>
          <w:sz w:val="22"/>
        </w:rPr>
        <w:t>:</w:t>
      </w:r>
    </w:p>
    <w:p w14:paraId="2F88B531" w14:textId="77777777" w:rsidR="00E868DC" w:rsidRPr="0095601E" w:rsidRDefault="00E868DC" w:rsidP="00E868DC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2A9BDC17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perceptor final de los fondos;</w:t>
      </w:r>
    </w:p>
    <w:p w14:paraId="3857162E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7FFAA28C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los nombres, apellidos y fechas de nacimiento de los titulares reales del del contratista</w:t>
      </w:r>
      <w:r>
        <w:rPr>
          <w:rFonts w:asciiTheme="minorHAnsi" w:hAnsiTheme="minorHAnsi" w:cstheme="minorHAnsi"/>
        </w:rPr>
        <w:t xml:space="preserve"> o subcontratista</w:t>
      </w:r>
      <w:r w:rsidRPr="0095601E">
        <w:rPr>
          <w:rFonts w:asciiTheme="minorHAnsi" w:hAnsiTheme="minorHAnsi" w:cstheme="minorHAnsi"/>
        </w:rPr>
        <w:t>, según se define en el artículo 3, punto 6, de la Directiva (UE) 2015/849 del Parlamento Europeo y del Consejo (26);</w:t>
      </w:r>
    </w:p>
    <w:p w14:paraId="4D3ACBC5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63A82898" w14:textId="77777777" w:rsidR="00E868DC" w:rsidRPr="0095601E" w:rsidRDefault="00E868DC" w:rsidP="00E868DC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</w:t>
      </w:r>
      <w:r w:rsidRPr="0095601E">
        <w:rPr>
          <w:rFonts w:asciiTheme="minorHAnsi" w:hAnsiTheme="minorHAnsi" w:cstheme="minorHAnsi"/>
        </w:rPr>
        <w:lastRenderedPageBreak/>
        <w:t>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452A3BDD" w14:textId="77777777" w:rsidR="00E868DC" w:rsidRDefault="00E868DC" w:rsidP="00E868DC">
      <w:pPr>
        <w:jc w:val="both"/>
        <w:rPr>
          <w:rFonts w:asciiTheme="minorHAnsi" w:hAnsiTheme="minorHAnsi" w:cstheme="minorHAnsi"/>
          <w:sz w:val="22"/>
        </w:rPr>
      </w:pPr>
    </w:p>
    <w:p w14:paraId="004775AA" w14:textId="77777777" w:rsidR="00E868DC" w:rsidRDefault="00E868DC" w:rsidP="00E868DC">
      <w:pPr>
        <w:jc w:val="both"/>
        <w:rPr>
          <w:rFonts w:asciiTheme="minorHAnsi" w:hAnsiTheme="minorHAnsi" w:cstheme="minorHAnsi"/>
          <w:sz w:val="22"/>
        </w:rPr>
      </w:pPr>
      <w:r w:rsidRPr="0095601E">
        <w:rPr>
          <w:rFonts w:asciiTheme="minorHAnsi" w:hAnsiTheme="minorHAnsi" w:cstheme="minorHAnsi"/>
          <w:sz w:val="22"/>
        </w:rPr>
        <w:t>Conforme al marco jurídico expuesto, manifiesta acceder a la cesión y tratamiento de los datos con los fines expresamente relacionados en los artículos citados.</w:t>
      </w:r>
    </w:p>
    <w:p w14:paraId="5079AF35" w14:textId="77777777" w:rsidR="00E868DC" w:rsidRPr="001B219D" w:rsidRDefault="00E868DC" w:rsidP="00E868DC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674363C9" w14:textId="5FB90B9C" w:rsidR="00E868DC" w:rsidRDefault="001B59FF" w:rsidP="00E868DC">
      <w:pPr>
        <w:spacing w:before="120" w:after="120" w:line="276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F5814F3" w14:textId="77777777" w:rsidR="00E868DC" w:rsidRDefault="00E868DC" w:rsidP="00E868DC">
      <w:pPr>
        <w:spacing w:after="120" w:line="276" w:lineRule="auto"/>
        <w:jc w:val="both"/>
        <w:rPr>
          <w:rFonts w:asciiTheme="minorHAnsi" w:hAnsiTheme="minorHAnsi" w:cstheme="minorHAnsi"/>
          <w:sz w:val="22"/>
        </w:rPr>
      </w:pPr>
    </w:p>
    <w:p w14:paraId="77D0A3B9" w14:textId="34C856BF" w:rsidR="00C8620B" w:rsidRDefault="00C8620B" w:rsidP="00E868DC">
      <w:pPr>
        <w:spacing w:before="120" w:after="120" w:line="276" w:lineRule="auto"/>
        <w:jc w:val="center"/>
        <w:rPr>
          <w:rFonts w:asciiTheme="minorHAnsi" w:hAnsiTheme="minorHAnsi" w:cstheme="minorHAnsi"/>
          <w:sz w:val="22"/>
        </w:rPr>
      </w:pPr>
    </w:p>
    <w:sectPr w:rsidR="00C8620B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53989" w14:textId="77777777" w:rsidR="007D681C" w:rsidRDefault="007D681C" w:rsidP="00EE6A90">
      <w:pPr>
        <w:spacing w:after="0" w:line="240" w:lineRule="auto"/>
      </w:pPr>
      <w:r>
        <w:separator/>
      </w:r>
    </w:p>
  </w:endnote>
  <w:endnote w:type="continuationSeparator" w:id="0">
    <w:p w14:paraId="609B6853" w14:textId="77777777" w:rsidR="007D681C" w:rsidRDefault="007D681C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8810" w14:textId="77777777" w:rsidR="001435FF" w:rsidRDefault="001435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C2A1" w14:textId="77777777" w:rsidR="007D681C" w:rsidRDefault="007D681C" w:rsidP="00EE6A90">
      <w:pPr>
        <w:spacing w:after="0" w:line="240" w:lineRule="auto"/>
      </w:pPr>
      <w:r>
        <w:separator/>
      </w:r>
    </w:p>
  </w:footnote>
  <w:footnote w:type="continuationSeparator" w:id="0">
    <w:p w14:paraId="56CA511A" w14:textId="77777777" w:rsidR="007D681C" w:rsidRDefault="007D681C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22420" w14:textId="77777777" w:rsidR="001435FF" w:rsidRDefault="001435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6196CA20" w:rsidR="002F0770" w:rsidRDefault="001435FF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15F65DC3">
          <wp:simplePos x="0" y="0"/>
          <wp:positionH relativeFrom="margin">
            <wp:posOffset>-340360</wp:posOffset>
          </wp:positionH>
          <wp:positionV relativeFrom="page">
            <wp:posOffset>292227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04DE2D4">
          <wp:simplePos x="0" y="0"/>
          <wp:positionH relativeFrom="column">
            <wp:posOffset>1264285</wp:posOffset>
          </wp:positionH>
          <wp:positionV relativeFrom="page">
            <wp:posOffset>372110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03C09679">
          <wp:simplePos x="0" y="0"/>
          <wp:positionH relativeFrom="column">
            <wp:posOffset>3768725</wp:posOffset>
          </wp:positionH>
          <wp:positionV relativeFrom="page">
            <wp:posOffset>299085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8" type="#_x0000_t75" style="width:11.6pt;height:11.6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8ry+RFLFuo2gelns0TkyUXbp+1Y20krGmtFLPyg9jUfK6XiG2xBwM0zDB6pOUrW/nmPrce5sAD5sOh2Vkj1pyA==" w:salt="7cVGnLOIjai2ezQagBWk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35FF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77F44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9F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6F93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B7A06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D7CAD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B7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54B78-409A-4EE6-8D9D-5AB41F23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9487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278</cp:revision>
  <cp:lastPrinted>2024-05-07T05:39:00Z</cp:lastPrinted>
  <dcterms:created xsi:type="dcterms:W3CDTF">2024-02-09T12:57:00Z</dcterms:created>
  <dcterms:modified xsi:type="dcterms:W3CDTF">2025-01-13T17:40:00Z</dcterms:modified>
</cp:coreProperties>
</file>